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明朝" w:hAnsi="ＭＳ 明朝" w:eastAsia="ＭＳ 明朝"/>
          <w:sz w:val="22"/>
        </w:rPr>
      </w:pPr>
      <w:r>
        <w:rPr>
          <w:rFonts w:ascii="ＭＳ 明朝" w:hAnsi="ＭＳ 明朝" w:eastAsia="ＭＳ 明朝"/>
          <w:sz w:val="22"/>
        </w:rPr>
        <w:t>田原市耕作放棄地再生利用補助金交付要綱</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（趣旨）</w:t>
      </w:r>
    </w:p>
    <w:p>
      <w:pPr>
        <w:pStyle w:val="Normal"/>
        <w:ind w:left="220" w:hanging="220"/>
        <w:rPr>
          <w:rFonts w:ascii="ＭＳ 明朝" w:hAnsi="ＭＳ 明朝" w:eastAsia="ＭＳ 明朝"/>
          <w:sz w:val="22"/>
        </w:rPr>
      </w:pPr>
      <w:r>
        <w:rPr>
          <w:rFonts w:ascii="ＭＳ 明朝" w:hAnsi="ＭＳ 明朝" w:eastAsia="ＭＳ 明朝"/>
          <w:sz w:val="22"/>
        </w:rPr>
        <w:t>第１条　この要綱は、耕作放棄地の解消及び有効利用を図るため、耕作放棄地の再生利用を行う農業者又は農業法人（以下「農業者等」という。）に対し、田原市耕作放棄地再生利用補助金（以下「補助金」という。）を交付することに関し、田原市補助金交付要綱に定めるもののほか、必要な事項を定めるものとする。</w:t>
      </w:r>
    </w:p>
    <w:p>
      <w:pPr>
        <w:pStyle w:val="Normal"/>
        <w:ind w:left="220" w:hanging="220"/>
        <w:rPr>
          <w:rFonts w:ascii="ＭＳ 明朝" w:hAnsi="ＭＳ 明朝" w:eastAsia="ＭＳ 明朝"/>
          <w:sz w:val="22"/>
        </w:rPr>
      </w:pPr>
      <w:r>
        <w:rPr>
          <w:rFonts w:ascii="ＭＳ 明朝" w:hAnsi="ＭＳ 明朝" w:eastAsia="ＭＳ 明朝"/>
          <w:sz w:val="22"/>
        </w:rPr>
        <w:t>　（定義）</w:t>
      </w:r>
    </w:p>
    <w:p>
      <w:pPr>
        <w:pStyle w:val="Normal"/>
        <w:ind w:left="220" w:hanging="220"/>
        <w:rPr>
          <w:rFonts w:ascii="ＭＳ 明朝" w:hAnsi="ＭＳ 明朝" w:eastAsia="ＭＳ 明朝"/>
          <w:sz w:val="22"/>
        </w:rPr>
      </w:pPr>
      <w:r>
        <w:rPr>
          <w:rFonts w:ascii="ＭＳ 明朝" w:hAnsi="ＭＳ 明朝" w:eastAsia="ＭＳ 明朝"/>
          <w:sz w:val="22"/>
        </w:rPr>
        <w:t>第２条　この要綱において、「耕作放棄地」とは、農用地区域（農業振興地域の整備に関する法律（昭和４４年法律第５８号）第８条第２項第１号に規定する農用地区域をいう。）の農地で、「農地法の運用について」の制定について（平成２１年１２月１１日付け２１経営第４５３０号・２１農振第１５９８号農林水産省経営局長・農村振興局長連盟通知。以下「運用通知」という。）第３第１項第３号ア（ウ）ａで定める農地</w:t>
      </w:r>
      <w:r>
        <w:rPr>
          <w:rFonts w:eastAsia="ＭＳ 明朝" w:ascii="ＭＳ 明朝" w:hAnsi="ＭＳ 明朝"/>
          <w:sz w:val="22"/>
        </w:rPr>
        <w:t>(</w:t>
      </w:r>
      <w:r>
        <w:rPr>
          <w:rFonts w:ascii="ＭＳ 明朝" w:hAnsi="ＭＳ 明朝" w:eastAsia="ＭＳ 明朝"/>
          <w:sz w:val="22"/>
        </w:rPr>
        <w:t>以下「緑区分」という。</w:t>
      </w:r>
      <w:r>
        <w:rPr>
          <w:rFonts w:eastAsia="ＭＳ 明朝" w:ascii="ＭＳ 明朝" w:hAnsi="ＭＳ 明朝"/>
          <w:sz w:val="22"/>
        </w:rPr>
        <w:t>)</w:t>
      </w:r>
      <w:r>
        <w:rPr>
          <w:rFonts w:ascii="ＭＳ 明朝" w:hAnsi="ＭＳ 明朝" w:eastAsia="ＭＳ 明朝"/>
          <w:sz w:val="22"/>
        </w:rPr>
        <w:t>及び第３第１項第３号ア（ウ）</w:t>
      </w:r>
      <w:r>
        <w:rPr>
          <w:rFonts w:eastAsia="ＭＳ 明朝" w:ascii="ＭＳ 明朝" w:hAnsi="ＭＳ 明朝"/>
          <w:sz w:val="22"/>
        </w:rPr>
        <w:t>b</w:t>
      </w:r>
      <w:r>
        <w:rPr>
          <w:rFonts w:ascii="ＭＳ 明朝" w:hAnsi="ＭＳ 明朝" w:eastAsia="ＭＳ 明朝"/>
          <w:sz w:val="22"/>
        </w:rPr>
        <w:t>で定める農地</w:t>
      </w:r>
      <w:r>
        <w:rPr>
          <w:rFonts w:eastAsia="ＭＳ 明朝" w:ascii="ＭＳ 明朝" w:hAnsi="ＭＳ 明朝"/>
          <w:sz w:val="22"/>
        </w:rPr>
        <w:t>(</w:t>
      </w:r>
      <w:r>
        <w:rPr>
          <w:rFonts w:ascii="ＭＳ 明朝" w:hAnsi="ＭＳ 明朝" w:eastAsia="ＭＳ 明朝"/>
          <w:sz w:val="22"/>
        </w:rPr>
        <w:t>以下「黄区分」という。</w:t>
      </w:r>
      <w:r>
        <w:rPr>
          <w:rFonts w:eastAsia="ＭＳ 明朝" w:ascii="ＭＳ 明朝" w:hAnsi="ＭＳ 明朝"/>
          <w:sz w:val="22"/>
        </w:rPr>
        <w:t>)</w:t>
      </w:r>
      <w:r>
        <w:rPr>
          <w:rFonts w:ascii="ＭＳ 明朝" w:hAnsi="ＭＳ 明朝" w:eastAsia="ＭＳ 明朝"/>
          <w:sz w:val="22"/>
        </w:rPr>
        <w:t>をいう。</w:t>
      </w:r>
    </w:p>
    <w:p>
      <w:pPr>
        <w:pStyle w:val="Normal"/>
        <w:ind w:left="220" w:hanging="220"/>
        <w:rPr>
          <w:rFonts w:ascii="ＭＳ 明朝" w:hAnsi="ＭＳ 明朝" w:eastAsia="ＭＳ 明朝"/>
          <w:sz w:val="22"/>
        </w:rPr>
      </w:pPr>
      <w:r>
        <w:rPr>
          <w:rFonts w:ascii="ＭＳ 明朝" w:hAnsi="ＭＳ 明朝" w:eastAsia="ＭＳ 明朝"/>
          <w:sz w:val="22"/>
        </w:rPr>
        <w:t>　（補助対象事業、補助率等）</w:t>
      </w:r>
    </w:p>
    <w:p>
      <w:pPr>
        <w:pStyle w:val="Normal"/>
        <w:ind w:left="220" w:hanging="220"/>
        <w:rPr>
          <w:rFonts w:ascii="ＭＳ 明朝" w:hAnsi="ＭＳ 明朝" w:eastAsia="ＭＳ 明朝"/>
          <w:sz w:val="22"/>
        </w:rPr>
      </w:pPr>
      <w:r>
        <w:rPr>
          <w:rFonts w:ascii="ＭＳ 明朝" w:hAnsi="ＭＳ 明朝" w:eastAsia="ＭＳ 明朝"/>
          <w:sz w:val="22"/>
        </w:rPr>
        <w:t>第３条　補助金の交付対象となる事業（以下「事業」という。）は、耕作放棄地を耕作できる状態までに再生するための別表に掲げる事業とする。ただし、国等の補助対象となるものは、除く。</w:t>
      </w:r>
    </w:p>
    <w:p>
      <w:pPr>
        <w:pStyle w:val="Normal"/>
        <w:ind w:left="220" w:hanging="220"/>
        <w:rPr>
          <w:rFonts w:ascii="ＭＳ 明朝" w:hAnsi="ＭＳ 明朝" w:eastAsia="ＭＳ 明朝"/>
          <w:sz w:val="22"/>
        </w:rPr>
      </w:pPr>
      <w:r>
        <w:rPr>
          <w:rFonts w:ascii="ＭＳ 明朝" w:hAnsi="ＭＳ 明朝" w:eastAsia="ＭＳ 明朝"/>
          <w:sz w:val="22"/>
        </w:rPr>
        <w:t>２　補助金は、予算の範囲内において、別表に掲げる基準により交付する。この場合において１００円未満の端数が生じたときは、当該端数を切り捨てるものとする。</w:t>
      </w:r>
    </w:p>
    <w:p>
      <w:pPr>
        <w:pStyle w:val="Normal"/>
        <w:ind w:left="220" w:hanging="220"/>
        <w:rPr>
          <w:rFonts w:ascii="ＭＳ 明朝" w:hAnsi="ＭＳ 明朝" w:eastAsia="ＭＳ 明朝"/>
          <w:sz w:val="22"/>
        </w:rPr>
      </w:pPr>
      <w:r>
        <w:rPr>
          <w:rFonts w:ascii="ＭＳ 明朝" w:hAnsi="ＭＳ 明朝" w:eastAsia="ＭＳ 明朝"/>
          <w:sz w:val="22"/>
        </w:rPr>
        <w:t>　（補助金の交付申請）</w:t>
      </w:r>
    </w:p>
    <w:p>
      <w:pPr>
        <w:pStyle w:val="Normal"/>
        <w:ind w:left="220" w:hanging="220"/>
        <w:rPr>
          <w:rFonts w:ascii="ＭＳ 明朝" w:hAnsi="ＭＳ 明朝" w:eastAsia="ＭＳ 明朝"/>
          <w:sz w:val="22"/>
        </w:rPr>
      </w:pPr>
      <w:r>
        <w:rPr>
          <w:rFonts w:ascii="ＭＳ 明朝" w:hAnsi="ＭＳ 明朝" w:eastAsia="ＭＳ 明朝"/>
          <w:sz w:val="22"/>
        </w:rPr>
        <w:t>第４条　補助金の交付を受けようとする農業者等（以下「申請者」という。）は、田原市耕作放棄地再生利用補助金交付申請書（様式第１号）を市長に提出しなければならない。</w:t>
      </w:r>
    </w:p>
    <w:p>
      <w:pPr>
        <w:pStyle w:val="Normal"/>
        <w:ind w:left="220" w:hanging="220"/>
        <w:rPr>
          <w:rFonts w:ascii="ＭＳ 明朝" w:hAnsi="ＭＳ 明朝" w:eastAsia="ＭＳ 明朝"/>
          <w:sz w:val="22"/>
        </w:rPr>
      </w:pPr>
      <w:r>
        <w:rPr>
          <w:rFonts w:ascii="ＭＳ 明朝" w:hAnsi="ＭＳ 明朝" w:eastAsia="ＭＳ 明朝"/>
          <w:sz w:val="22"/>
        </w:rPr>
        <w:t>　（補助金の交付決定）</w:t>
      </w:r>
    </w:p>
    <w:p>
      <w:pPr>
        <w:pStyle w:val="Normal"/>
        <w:ind w:left="220" w:hanging="220"/>
        <w:rPr>
          <w:rFonts w:ascii="ＭＳ 明朝" w:hAnsi="ＭＳ 明朝" w:eastAsia="ＭＳ 明朝"/>
          <w:sz w:val="22"/>
        </w:rPr>
      </w:pPr>
      <w:r>
        <w:rPr>
          <w:rFonts w:ascii="ＭＳ 明朝" w:hAnsi="ＭＳ 明朝" w:eastAsia="ＭＳ 明朝"/>
          <w:sz w:val="22"/>
        </w:rPr>
        <w:t>第５条　市長は、前条の規定により交付申請を受けた場合は、別に定める田原市耕作放棄地再生利用審査会で審査し、適当と認めたときは、田原市耕作放棄地再生利用補助金交付決定通知書（様式第２号）により申請者に通知するものとする。</w:t>
      </w:r>
    </w:p>
    <w:p>
      <w:pPr>
        <w:pStyle w:val="Normal"/>
        <w:ind w:left="220" w:hanging="220"/>
        <w:rPr>
          <w:rFonts w:ascii="ＭＳ 明朝" w:hAnsi="ＭＳ 明朝" w:eastAsia="ＭＳ 明朝"/>
          <w:sz w:val="22"/>
        </w:rPr>
      </w:pPr>
      <w:r>
        <w:rPr>
          <w:rFonts w:ascii="ＭＳ 明朝" w:hAnsi="ＭＳ 明朝" w:eastAsia="ＭＳ 明朝"/>
          <w:sz w:val="22"/>
        </w:rPr>
        <w:t>２　市長は、前項の規定による交付決定に際しては、必要な条件を付すことができる。</w:t>
      </w:r>
    </w:p>
    <w:p>
      <w:pPr>
        <w:pStyle w:val="Normal"/>
        <w:ind w:left="220" w:hanging="220"/>
        <w:rPr>
          <w:rFonts w:ascii="ＭＳ 明朝" w:hAnsi="ＭＳ 明朝" w:eastAsia="ＭＳ 明朝"/>
          <w:sz w:val="22"/>
        </w:rPr>
      </w:pPr>
      <w:r>
        <w:rPr>
          <w:rFonts w:ascii="ＭＳ 明朝" w:hAnsi="ＭＳ 明朝" w:eastAsia="ＭＳ 明朝"/>
          <w:sz w:val="22"/>
        </w:rPr>
        <w:t>　（申請内容の変更）</w:t>
      </w:r>
    </w:p>
    <w:p>
      <w:pPr>
        <w:pStyle w:val="Normal"/>
        <w:ind w:left="220" w:hanging="220"/>
        <w:rPr>
          <w:rFonts w:ascii="ＭＳ 明朝" w:hAnsi="ＭＳ 明朝" w:eastAsia="ＭＳ 明朝"/>
          <w:sz w:val="22"/>
        </w:rPr>
      </w:pPr>
      <w:r>
        <w:rPr>
          <w:rFonts w:ascii="ＭＳ 明朝" w:hAnsi="ＭＳ 明朝" w:eastAsia="ＭＳ 明朝"/>
          <w:sz w:val="22"/>
        </w:rPr>
        <w:t>第６条　前条の規定により交付決定を受けた者（以下「交付決定者」という。）は、申請内容を変更しようとするときは、速やかに田原市耕作放棄地再生利用補助金交付変更申請書（様式第３号）を市長に提出し、承認を受けなければならない。</w:t>
      </w:r>
    </w:p>
    <w:p>
      <w:pPr>
        <w:pStyle w:val="Normal"/>
        <w:ind w:left="220" w:hanging="220"/>
        <w:rPr>
          <w:rFonts w:ascii="ＭＳ 明朝" w:hAnsi="ＭＳ 明朝" w:eastAsia="ＭＳ 明朝"/>
          <w:sz w:val="22"/>
        </w:rPr>
      </w:pPr>
      <w:r>
        <w:rPr>
          <w:rFonts w:ascii="ＭＳ 明朝" w:hAnsi="ＭＳ 明朝" w:eastAsia="ＭＳ 明朝"/>
          <w:sz w:val="22"/>
        </w:rPr>
        <w:t>　（実績報告）</w:t>
      </w:r>
    </w:p>
    <w:p>
      <w:pPr>
        <w:pStyle w:val="Normal"/>
        <w:ind w:left="220" w:hanging="220"/>
        <w:rPr>
          <w:rFonts w:ascii="ＭＳ 明朝" w:hAnsi="ＭＳ 明朝" w:eastAsia="ＭＳ 明朝"/>
          <w:sz w:val="22"/>
        </w:rPr>
      </w:pPr>
      <w:r>
        <w:rPr>
          <w:rFonts w:ascii="ＭＳ 明朝" w:hAnsi="ＭＳ 明朝" w:eastAsia="ＭＳ 明朝"/>
          <w:sz w:val="22"/>
        </w:rPr>
        <w:t>第７条　交付決定者は、事業が完了したときは、田原市耕作放棄地再生利用事業完了実績報告書（様式第４号）に関係書類を添えて市長に報告しなければならない。</w:t>
      </w:r>
    </w:p>
    <w:p>
      <w:pPr>
        <w:pStyle w:val="Normal"/>
        <w:ind w:left="220" w:hanging="220"/>
        <w:rPr>
          <w:rFonts w:ascii="ＭＳ 明朝" w:hAnsi="ＭＳ 明朝" w:eastAsia="ＭＳ 明朝"/>
          <w:sz w:val="22"/>
        </w:rPr>
      </w:pPr>
      <w:r>
        <w:rPr>
          <w:rFonts w:ascii="ＭＳ 明朝" w:hAnsi="ＭＳ 明朝" w:eastAsia="ＭＳ 明朝"/>
          <w:sz w:val="22"/>
        </w:rPr>
        <w:t>　（補助金の額の確定）</w:t>
      </w:r>
    </w:p>
    <w:p>
      <w:pPr>
        <w:pStyle w:val="Normal"/>
        <w:ind w:left="220" w:hanging="220"/>
        <w:rPr>
          <w:rFonts w:ascii="ＭＳ 明朝" w:hAnsi="ＭＳ 明朝" w:eastAsia="ＭＳ 明朝"/>
          <w:sz w:val="22"/>
        </w:rPr>
      </w:pPr>
      <w:r>
        <w:rPr>
          <w:rFonts w:ascii="ＭＳ 明朝" w:hAnsi="ＭＳ 明朝" w:eastAsia="ＭＳ 明朝"/>
          <w:sz w:val="22"/>
        </w:rPr>
        <w:t>第８条　市長は、前条の規定による実績報告を受けた場合において、実績報告書を審査し、適正と認めたときは、補助金の額を確定し、田原市耕作放棄地再生利用補助金確定通知書（様式第５号）により交付決定者に通知するものとする。</w:t>
      </w:r>
    </w:p>
    <w:p>
      <w:pPr>
        <w:pStyle w:val="Normal"/>
        <w:ind w:left="220" w:hanging="220"/>
        <w:rPr>
          <w:rFonts w:ascii="ＭＳ 明朝" w:hAnsi="ＭＳ 明朝" w:eastAsia="ＭＳ 明朝"/>
          <w:sz w:val="22"/>
        </w:rPr>
      </w:pPr>
      <w:r>
        <w:rPr>
          <w:rFonts w:ascii="ＭＳ 明朝" w:hAnsi="ＭＳ 明朝" w:eastAsia="ＭＳ 明朝"/>
          <w:sz w:val="22"/>
        </w:rPr>
        <w:t>　（補助金の請求）</w:t>
      </w:r>
    </w:p>
    <w:p>
      <w:pPr>
        <w:pStyle w:val="Normal"/>
        <w:ind w:left="220" w:hanging="220"/>
        <w:rPr>
          <w:rFonts w:ascii="ＭＳ 明朝" w:hAnsi="ＭＳ 明朝" w:eastAsia="ＭＳ 明朝"/>
          <w:sz w:val="22"/>
        </w:rPr>
      </w:pPr>
      <w:r>
        <w:rPr>
          <w:rFonts w:ascii="ＭＳ 明朝" w:hAnsi="ＭＳ 明朝" w:eastAsia="ＭＳ 明朝"/>
          <w:sz w:val="22"/>
        </w:rPr>
        <w:t>第９条　交付決定者は、補助金の額の確定後、田原市耕作放棄地再生利用補助金交付請求書（様式第６号）を市長に提出しなければならない。</w:t>
      </w:r>
    </w:p>
    <w:p>
      <w:pPr>
        <w:pStyle w:val="Normal"/>
        <w:ind w:left="220" w:hanging="220"/>
        <w:rPr>
          <w:rFonts w:ascii="ＭＳ 明朝" w:hAnsi="ＭＳ 明朝" w:eastAsia="ＭＳ 明朝"/>
          <w:sz w:val="22"/>
        </w:rPr>
      </w:pPr>
      <w:r>
        <w:rPr>
          <w:rFonts w:ascii="ＭＳ 明朝" w:hAnsi="ＭＳ 明朝" w:eastAsia="ＭＳ 明朝"/>
          <w:sz w:val="22"/>
        </w:rPr>
        <w:t>　（補助金の取消し及び返還）</w:t>
      </w:r>
    </w:p>
    <w:p>
      <w:pPr>
        <w:pStyle w:val="Normal"/>
        <w:rPr>
          <w:rFonts w:ascii="ＭＳ 明朝" w:hAnsi="ＭＳ 明朝" w:eastAsia="ＭＳ 明朝"/>
          <w:sz w:val="22"/>
        </w:rPr>
      </w:pPr>
      <w:r>
        <w:rPr>
          <w:rFonts w:ascii="ＭＳ 明朝" w:hAnsi="ＭＳ 明朝" w:eastAsia="ＭＳ 明朝"/>
          <w:sz w:val="22"/>
        </w:rPr>
        <w:t>第１０条　市長は、交付決定者又は補助金の交付を受けた農業者等が次の各号のいずれかに該当するときは、補助金の交付決定の全部又は一部を取り消すことができる。</w:t>
      </w:r>
    </w:p>
    <w:p>
      <w:pPr>
        <w:pStyle w:val="Normal"/>
        <w:rPr>
          <w:rFonts w:ascii="ＭＳ 明朝" w:hAnsi="ＭＳ 明朝" w:eastAsia="ＭＳ 明朝"/>
          <w:sz w:val="22"/>
        </w:rPr>
      </w:pPr>
      <w:r>
        <w:rPr>
          <w:rFonts w:ascii="ＭＳ 明朝" w:hAnsi="ＭＳ 明朝" w:eastAsia="ＭＳ 明朝"/>
          <w:sz w:val="22"/>
        </w:rPr>
        <w:t>　</w:t>
      </w:r>
      <w:r>
        <w:rPr>
          <w:rFonts w:eastAsia="ＭＳ 明朝" w:ascii="ＭＳ 明朝" w:hAnsi="ＭＳ 明朝"/>
          <w:sz w:val="22"/>
        </w:rPr>
        <w:t xml:space="preserve">(1) </w:t>
      </w:r>
      <w:r>
        <w:rPr>
          <w:rFonts w:ascii="ＭＳ 明朝" w:hAnsi="ＭＳ 明朝" w:eastAsia="ＭＳ 明朝"/>
          <w:sz w:val="22"/>
        </w:rPr>
        <w:t>耕作放棄地再生利用事業の完了の日から５年を経過するまでの間において、農地</w:t>
      </w:r>
    </w:p>
    <w:p>
      <w:pPr>
        <w:pStyle w:val="Normal"/>
        <w:ind w:firstLine="440"/>
        <w:rPr>
          <w:rFonts w:ascii="ＭＳ 明朝" w:hAnsi="ＭＳ 明朝" w:eastAsia="ＭＳ 明朝"/>
          <w:sz w:val="22"/>
        </w:rPr>
      </w:pPr>
      <w:r>
        <w:rPr>
          <w:rFonts w:ascii="ＭＳ 明朝" w:hAnsi="ＭＳ 明朝" w:eastAsia="ＭＳ 明朝"/>
          <w:sz w:val="22"/>
        </w:rPr>
        <w:t>が良好に管理されてないと認められたとき。</w:t>
      </w:r>
    </w:p>
    <w:p>
      <w:pPr>
        <w:pStyle w:val="Normal"/>
        <w:rPr>
          <w:rFonts w:ascii="ＭＳ 明朝" w:hAnsi="ＭＳ 明朝" w:eastAsia="ＭＳ 明朝"/>
          <w:sz w:val="22"/>
        </w:rPr>
      </w:pPr>
      <w:r>
        <w:rPr>
          <w:rFonts w:ascii="ＭＳ 明朝" w:hAnsi="ＭＳ 明朝" w:eastAsia="ＭＳ 明朝"/>
          <w:sz w:val="22"/>
        </w:rPr>
        <w:t>　</w:t>
      </w:r>
      <w:r>
        <w:rPr>
          <w:rFonts w:eastAsia="ＭＳ 明朝" w:ascii="ＭＳ 明朝" w:hAnsi="ＭＳ 明朝"/>
          <w:sz w:val="22"/>
        </w:rPr>
        <w:t xml:space="preserve">(2) </w:t>
      </w:r>
      <w:r>
        <w:rPr>
          <w:rFonts w:ascii="ＭＳ 明朝" w:hAnsi="ＭＳ 明朝" w:eastAsia="ＭＳ 明朝"/>
          <w:sz w:val="22"/>
        </w:rPr>
        <w:t>この要綱の規定に違反したとき。</w:t>
      </w:r>
    </w:p>
    <w:p>
      <w:pPr>
        <w:pStyle w:val="Normal"/>
        <w:rPr>
          <w:rFonts w:ascii="ＭＳ 明朝" w:hAnsi="ＭＳ 明朝" w:eastAsia="ＭＳ 明朝"/>
          <w:sz w:val="22"/>
        </w:rPr>
      </w:pPr>
      <w:r>
        <w:rPr>
          <w:rFonts w:ascii="ＭＳ 明朝" w:hAnsi="ＭＳ 明朝" w:eastAsia="ＭＳ 明朝"/>
          <w:sz w:val="22"/>
        </w:rPr>
        <w:t>　</w:t>
      </w:r>
      <w:r>
        <w:rPr>
          <w:rFonts w:eastAsia="ＭＳ 明朝" w:ascii="ＭＳ 明朝" w:hAnsi="ＭＳ 明朝"/>
          <w:sz w:val="22"/>
        </w:rPr>
        <w:t xml:space="preserve">(3) </w:t>
      </w:r>
      <w:r>
        <w:rPr>
          <w:rFonts w:ascii="ＭＳ 明朝" w:hAnsi="ＭＳ 明朝" w:eastAsia="ＭＳ 明朝"/>
          <w:sz w:val="22"/>
        </w:rPr>
        <w:t>前２号に掲げる場合のほか、市長が補助金の交付を適当でないと認めたとき。</w:t>
      </w:r>
    </w:p>
    <w:p>
      <w:pPr>
        <w:pStyle w:val="Normal"/>
        <w:ind w:left="220" w:hanging="220"/>
        <w:rPr>
          <w:rFonts w:ascii="ＭＳ 明朝" w:hAnsi="ＭＳ 明朝" w:eastAsia="ＭＳ 明朝"/>
          <w:sz w:val="22"/>
        </w:rPr>
      </w:pPr>
      <w:r>
        <w:rPr>
          <w:rFonts w:ascii="ＭＳ 明朝" w:hAnsi="ＭＳ 明朝" w:eastAsia="ＭＳ 明朝"/>
          <w:sz w:val="22"/>
        </w:rPr>
        <w:t>２　市長は、前項の規定により補助金の交付決定を取り消した場合において、既に補助金が交付されているときは、期限を定めてその返還を命ずるものとする。ただし、補助金の交付を受けた農業者等が死亡したとき、心身に著しい障害を生じたとき又は災害その他特別な事由により返還が困難と認められる状況にあるときは、この限りでない。</w:t>
      </w:r>
    </w:p>
    <w:p>
      <w:pPr>
        <w:pStyle w:val="Normal"/>
        <w:ind w:left="220" w:hanging="220"/>
        <w:rPr>
          <w:rFonts w:ascii="ＭＳ 明朝" w:hAnsi="ＭＳ 明朝" w:eastAsia="ＭＳ 明朝"/>
          <w:sz w:val="22"/>
        </w:rPr>
      </w:pPr>
      <w:r>
        <w:rPr>
          <w:rFonts w:ascii="ＭＳ 明朝" w:hAnsi="ＭＳ 明朝" w:eastAsia="ＭＳ 明朝"/>
          <w:sz w:val="22"/>
        </w:rPr>
        <w:t>　（委任）</w:t>
      </w:r>
    </w:p>
    <w:p>
      <w:pPr>
        <w:pStyle w:val="Normal"/>
        <w:ind w:left="220" w:hanging="220"/>
        <w:rPr>
          <w:rFonts w:ascii="ＭＳ 明朝" w:hAnsi="ＭＳ 明朝" w:eastAsia="ＭＳ 明朝"/>
          <w:sz w:val="22"/>
        </w:rPr>
      </w:pPr>
      <w:r>
        <w:rPr>
          <w:rFonts w:ascii="ＭＳ 明朝" w:hAnsi="ＭＳ 明朝" w:eastAsia="ＭＳ 明朝"/>
          <w:sz w:val="22"/>
        </w:rPr>
        <w:t>第１１条　この要綱に定めるもののほか、必要な事項は、市長が別に定める。</w:t>
      </w:r>
    </w:p>
    <w:p>
      <w:pPr>
        <w:pStyle w:val="Normal"/>
        <w:ind w:left="220" w:hanging="220"/>
        <w:rPr>
          <w:rFonts w:ascii="ＭＳ 明朝" w:hAnsi="ＭＳ 明朝" w:eastAsia="ＭＳ 明朝"/>
          <w:sz w:val="22"/>
        </w:rPr>
      </w:pPr>
      <w:r>
        <w:rPr>
          <w:rFonts w:ascii="ＭＳ 明朝" w:hAnsi="ＭＳ 明朝" w:eastAsia="ＭＳ 明朝"/>
          <w:sz w:val="22"/>
        </w:rPr>
        <w:t>　　　附　則</w:t>
      </w:r>
    </w:p>
    <w:p>
      <w:pPr>
        <w:pStyle w:val="Normal"/>
        <w:ind w:left="220" w:hanging="220"/>
        <w:rPr>
          <w:rFonts w:ascii="ＭＳ 明朝" w:hAnsi="ＭＳ 明朝" w:eastAsia="ＭＳ 明朝"/>
          <w:sz w:val="22"/>
        </w:rPr>
      </w:pPr>
      <w:r>
        <w:rPr>
          <w:rFonts w:ascii="ＭＳ 明朝" w:hAnsi="ＭＳ 明朝" w:eastAsia="ＭＳ 明朝"/>
          <w:sz w:val="22"/>
        </w:rPr>
        <w:t>　（施行期日）</w:t>
      </w:r>
    </w:p>
    <w:p>
      <w:pPr>
        <w:pStyle w:val="Normal"/>
        <w:ind w:left="220" w:hanging="220"/>
        <w:rPr>
          <w:rFonts w:ascii="ＭＳ 明朝" w:hAnsi="ＭＳ 明朝" w:eastAsia="ＭＳ 明朝"/>
          <w:sz w:val="22"/>
        </w:rPr>
      </w:pPr>
      <w:r>
        <w:rPr>
          <w:rFonts w:ascii="ＭＳ 明朝" w:hAnsi="ＭＳ 明朝" w:eastAsia="ＭＳ 明朝"/>
          <w:sz w:val="22"/>
        </w:rPr>
        <w:t>１　この要綱は、令和２年４月１日から施行する。</w:t>
      </w:r>
    </w:p>
    <w:p>
      <w:pPr>
        <w:pStyle w:val="Normal"/>
        <w:widowControl/>
        <w:jc w:val="left"/>
        <w:rPr>
          <w:rFonts w:ascii="ＭＳ 明朝" w:hAnsi="ＭＳ 明朝" w:eastAsia="ＭＳ 明朝"/>
          <w:sz w:val="22"/>
        </w:rPr>
      </w:pPr>
      <w:r>
        <w:rPr>
          <w:rFonts w:ascii="ＭＳ 明朝" w:hAnsi="ＭＳ 明朝" w:eastAsia="ＭＳ 明朝"/>
          <w:sz w:val="22"/>
        </w:rPr>
        <w:t>　（この要綱の失効）</w:t>
      </w:r>
    </w:p>
    <w:p>
      <w:pPr>
        <w:pStyle w:val="Normal"/>
        <w:widowControl/>
        <w:jc w:val="left"/>
        <w:rPr>
          <w:rFonts w:ascii="ＭＳ 明朝" w:hAnsi="ＭＳ 明朝" w:eastAsia="ＭＳ 明朝"/>
          <w:sz w:val="22"/>
        </w:rPr>
      </w:pPr>
      <w:r>
        <w:rPr>
          <w:rFonts w:ascii="ＭＳ 明朝" w:hAnsi="ＭＳ 明朝" w:eastAsia="ＭＳ 明朝"/>
          <w:sz w:val="22"/>
        </w:rPr>
        <w:t>２　この要綱は、令和８年３月３１日限り、その効力を失う。ただし、第１０条の規定については、この要綱の失効後もなお効力を有する</w:t>
      </w:r>
    </w:p>
    <w:p>
      <w:pPr>
        <w:pStyle w:val="Normal"/>
        <w:ind w:left="210" w:firstLine="440"/>
        <w:rPr>
          <w:rFonts w:ascii="ＭＳ 明朝" w:hAnsi="ＭＳ 明朝" w:eastAsia="ＭＳ 明朝"/>
          <w:sz w:val="22"/>
        </w:rPr>
      </w:pPr>
      <w:r>
        <w:rPr>
          <w:rFonts w:ascii="ＭＳ 明朝" w:hAnsi="ＭＳ 明朝" w:eastAsia="ＭＳ 明朝"/>
          <w:sz w:val="22"/>
        </w:rPr>
        <w:t>附　則</w:t>
      </w:r>
    </w:p>
    <w:p>
      <w:pPr>
        <w:pStyle w:val="Normal"/>
        <w:widowControl/>
        <w:jc w:val="left"/>
        <w:rPr>
          <w:rFonts w:ascii="ＭＳ 明朝" w:hAnsi="ＭＳ 明朝" w:eastAsia="ＭＳ 明朝"/>
          <w:sz w:val="22"/>
        </w:rPr>
      </w:pPr>
      <w:r>
        <w:rPr>
          <w:rFonts w:ascii="ＭＳ 明朝" w:hAnsi="ＭＳ 明朝" w:eastAsia="ＭＳ 明朝"/>
          <w:sz w:val="22"/>
        </w:rPr>
        <w:t>　この要綱は、令和５年４月１日から施行する。ただし、附則第２項の改正規定は、同年３月３１日から施行ずる。</w:t>
      </w:r>
    </w:p>
    <w:p>
      <w:pPr>
        <w:pStyle w:val="Normal"/>
        <w:ind w:left="210" w:firstLine="440"/>
        <w:rPr>
          <w:rFonts w:ascii="ＭＳ 明朝" w:hAnsi="ＭＳ 明朝" w:eastAsia="ＭＳ 明朝"/>
          <w:sz w:val="22"/>
        </w:rPr>
      </w:pPr>
      <w:r>
        <w:rPr>
          <w:rFonts w:ascii="ＭＳ 明朝" w:hAnsi="ＭＳ 明朝" w:eastAsia="ＭＳ 明朝"/>
          <w:sz w:val="22"/>
        </w:rPr>
        <w:t>附　則</w:t>
      </w:r>
    </w:p>
    <w:p>
      <w:pPr>
        <w:pStyle w:val="Normal"/>
        <w:widowControl/>
        <w:jc w:val="left"/>
        <w:rPr>
          <w:rFonts w:ascii="ＭＳ 明朝" w:hAnsi="ＭＳ 明朝" w:eastAsia="ＭＳ 明朝"/>
          <w:sz w:val="22"/>
        </w:rPr>
      </w:pPr>
      <w:r>
        <w:rPr>
          <w:rFonts w:ascii="ＭＳ 明朝" w:hAnsi="ＭＳ 明朝" w:eastAsia="ＭＳ 明朝"/>
          <w:sz w:val="22"/>
        </w:rPr>
        <w:t>　この要綱は、令和６年４月１日から施行する。</w:t>
      </w:r>
    </w:p>
    <w:p>
      <w:pPr>
        <w:pStyle w:val="Normal"/>
        <w:widowControl/>
        <w:jc w:val="left"/>
        <w:rPr>
          <w:rFonts w:ascii="ＭＳ 明朝" w:hAnsi="ＭＳ 明朝" w:eastAsia="ＭＳ 明朝"/>
          <w:sz w:val="22"/>
        </w:rPr>
      </w:pPr>
      <w:r>
        <w:rPr>
          <w:rFonts w:eastAsia="ＭＳ 明朝" w:ascii="ＭＳ 明朝" w:hAnsi="ＭＳ 明朝"/>
          <w:sz w:val="22"/>
        </w:rPr>
      </w:r>
    </w:p>
    <w:p>
      <w:pPr>
        <w:pStyle w:val="Normal"/>
        <w:widowControl/>
        <w:jc w:val="left"/>
        <w:rPr>
          <w:rFonts w:ascii="ＭＳ 明朝" w:hAnsi="ＭＳ 明朝" w:eastAsia="ＭＳ 明朝"/>
          <w:sz w:val="22"/>
        </w:rPr>
      </w:pPr>
      <w:r>
        <w:rPr>
          <w:rFonts w:eastAsia="ＭＳ 明朝" w:ascii="ＭＳ 明朝" w:hAnsi="ＭＳ 明朝"/>
          <w:sz w:val="22"/>
        </w:rPr>
      </w:r>
      <w:r>
        <w:br w:type="page"/>
      </w:r>
    </w:p>
    <w:p>
      <w:pPr>
        <w:pStyle w:val="Normal"/>
        <w:ind w:left="220" w:hanging="220"/>
        <w:rPr>
          <w:rFonts w:ascii="ＭＳ 明朝" w:hAnsi="ＭＳ 明朝" w:eastAsia="ＭＳ 明朝"/>
          <w:sz w:val="22"/>
        </w:rPr>
      </w:pPr>
      <w:r>
        <w:rPr>
          <w:rFonts w:ascii="ＭＳ 明朝" w:hAnsi="ＭＳ 明朝" w:eastAsia="ＭＳ 明朝"/>
          <w:sz w:val="22"/>
        </w:rPr>
        <w:t>別表（第３条関係）</w:t>
      </w:r>
    </w:p>
    <w:p>
      <w:pPr>
        <w:pStyle w:val="Normal"/>
        <w:ind w:left="210" w:firstLine="220"/>
        <w:rPr>
          <w:rFonts w:ascii="ＭＳ 明朝" w:hAnsi="ＭＳ 明朝" w:eastAsia="ＭＳ 明朝"/>
          <w:sz w:val="22"/>
        </w:rPr>
      </w:pPr>
      <w:r>
        <w:rPr>
          <w:rFonts w:eastAsia="ＭＳ 明朝" w:ascii="ＭＳ 明朝" w:hAnsi="ＭＳ 明朝"/>
          <w:sz w:val="22"/>
        </w:rPr>
      </w:r>
    </w:p>
    <w:tbl>
      <w:tblPr>
        <w:tblpPr w:bottomFromText="0" w:horzAnchor="margin" w:leftFromText="142" w:rightFromText="142" w:tblpX="0" w:tblpY="-51" w:topFromText="0" w:vertAnchor="text"/>
        <w:tblW w:w="9432" w:type="dxa"/>
        <w:jc w:val="left"/>
        <w:tblInd w:w="0" w:type="dxa"/>
        <w:tblCellMar>
          <w:top w:w="0" w:type="dxa"/>
          <w:left w:w="99" w:type="dxa"/>
          <w:bottom w:w="0" w:type="dxa"/>
          <w:right w:w="99" w:type="dxa"/>
        </w:tblCellMar>
        <w:tblLook w:val="0000" w:noVBand="0" w:noHBand="0" w:lastColumn="0" w:firstColumn="0" w:lastRow="0" w:firstRow="0"/>
      </w:tblPr>
      <w:tblGrid>
        <w:gridCol w:w="598"/>
        <w:gridCol w:w="517"/>
        <w:gridCol w:w="1122"/>
        <w:gridCol w:w="2292"/>
        <w:gridCol w:w="1417"/>
        <w:gridCol w:w="1559"/>
        <w:gridCol w:w="1926"/>
      </w:tblGrid>
      <w:tr>
        <w:trPr>
          <w:trHeight w:val="1105" w:hRule="atLeast"/>
          <w:cantSplit w:val="true"/>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ＭＳ 明朝" w:hAnsi="ＭＳ 明朝" w:eastAsia="ＭＳ 明朝"/>
                <w:sz w:val="22"/>
              </w:rPr>
            </w:pPr>
            <w:r>
              <w:rPr>
                <w:rFonts w:ascii="ＭＳ 明朝" w:hAnsi="ＭＳ 明朝" w:eastAsia="ＭＳ 明朝"/>
                <w:sz w:val="22"/>
              </w:rPr>
              <w:t>対象農地区分</w:t>
            </w:r>
          </w:p>
        </w:tc>
        <w:tc>
          <w:tcPr>
            <w:tcW w:w="163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補助対象事業区分</w:t>
            </w:r>
          </w:p>
        </w:tc>
        <w:tc>
          <w:tcPr>
            <w:tcW w:w="229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補助対象経費</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補助対象</w:t>
            </w:r>
          </w:p>
          <w:p>
            <w:pPr>
              <w:pStyle w:val="Normal"/>
              <w:jc w:val="center"/>
              <w:rPr>
                <w:rFonts w:ascii="ＭＳ 明朝" w:hAnsi="ＭＳ 明朝" w:eastAsia="ＭＳ 明朝"/>
                <w:sz w:val="22"/>
              </w:rPr>
            </w:pPr>
            <w:r>
              <w:rPr>
                <w:rFonts w:ascii="ＭＳ 明朝" w:hAnsi="ＭＳ 明朝" w:eastAsia="ＭＳ 明朝"/>
                <w:sz w:val="22"/>
              </w:rPr>
              <w:t>事業費</w:t>
            </w:r>
          </w:p>
          <w:p>
            <w:pPr>
              <w:pStyle w:val="Normal"/>
              <w:jc w:val="center"/>
              <w:rPr>
                <w:rFonts w:ascii="ＭＳ 明朝" w:hAnsi="ＭＳ 明朝" w:eastAsia="ＭＳ 明朝"/>
                <w:sz w:val="22"/>
              </w:rPr>
            </w:pPr>
            <w:r>
              <w:rPr>
                <w:rFonts w:ascii="ＭＳ 明朝" w:hAnsi="ＭＳ 明朝" w:eastAsia="ＭＳ 明朝"/>
                <w:sz w:val="22"/>
              </w:rPr>
              <w:t>上限額</w:t>
            </w:r>
          </w:p>
        </w:tc>
        <w:tc>
          <w:tcPr>
            <w:tcW w:w="155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補助率</w:t>
            </w:r>
          </w:p>
        </w:tc>
        <w:tc>
          <w:tcPr>
            <w:tcW w:w="19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交付対象者</w:t>
            </w:r>
          </w:p>
        </w:tc>
      </w:tr>
      <w:tr>
        <w:trPr>
          <w:trHeight w:val="1512" w:hRule="atLeast"/>
        </w:trPr>
        <w:tc>
          <w:tcPr>
            <w:tcW w:w="598" w:type="dxa"/>
            <w:vMerge w:val="restart"/>
            <w:tcBorders>
              <w:top w:val="single" w:sz="4" w:space="0" w:color="000000"/>
              <w:left w:val="single" w:sz="4" w:space="0" w:color="000000"/>
              <w:bottom w:val="single" w:sz="4" w:space="0" w:color="000000"/>
              <w:right w:val="single" w:sz="4" w:space="0" w:color="000000"/>
            </w:tcBorders>
            <w:shd w:fill="auto" w:val="clear"/>
            <w:textDirection w:val="tbRl"/>
          </w:tcPr>
          <w:p>
            <w:pPr>
              <w:pStyle w:val="Normal"/>
              <w:ind w:left="113" w:right="113" w:hanging="0"/>
              <w:jc w:val="center"/>
              <w:rPr>
                <w:rFonts w:ascii="ＭＳ 明朝" w:hAnsi="ＭＳ 明朝" w:eastAsia="ＭＳ 明朝"/>
                <w:sz w:val="22"/>
              </w:rPr>
            </w:pPr>
            <w:r>
              <w:rPr>
                <w:rFonts w:ascii="ＭＳ 明朝" w:hAnsi="ＭＳ 明朝" w:eastAsia="ＭＳ 明朝"/>
                <w:sz w:val="22"/>
              </w:rPr>
              <w:t>緑区分</w:t>
            </w:r>
          </w:p>
        </w:tc>
        <w:tc>
          <w:tcPr>
            <w:tcW w:w="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再生事業</w:t>
            </w:r>
          </w:p>
        </w:tc>
        <w:tc>
          <w:tcPr>
            <w:tcW w:w="11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施設に関係する障害物除去、施設撤去に伴う整地等</w:t>
            </w:r>
          </w:p>
        </w:tc>
        <w:tc>
          <w:tcPr>
            <w:tcW w:w="229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再生事業及び補完事業に要した費用（工事に係る委託料、機械・器具リース料及び燃料代、その他必要と認められる費用）</w:t>
            </w:r>
          </w:p>
        </w:tc>
        <w:tc>
          <w:tcPr>
            <w:tcW w:w="141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再生事業と補完事業を合わせて、施設面積</w:t>
            </w:r>
            <w:r>
              <w:rPr>
                <w:rFonts w:eastAsia="ＭＳ 明朝" w:ascii="ＭＳ 明朝" w:hAnsi="ＭＳ 明朝"/>
                <w:sz w:val="22"/>
              </w:rPr>
              <w:t>10a</w:t>
            </w:r>
            <w:r>
              <w:rPr>
                <w:rFonts w:ascii="ＭＳ 明朝" w:hAnsi="ＭＳ 明朝" w:eastAsia="ＭＳ 明朝"/>
                <w:sz w:val="22"/>
              </w:rPr>
              <w:t>当たり</w:t>
            </w:r>
            <w:r>
              <w:rPr>
                <w:rFonts w:eastAsia="ＭＳ 明朝" w:ascii="ＭＳ 明朝" w:hAnsi="ＭＳ 明朝"/>
                <w:sz w:val="22"/>
              </w:rPr>
              <w:t>2,000</w:t>
            </w:r>
            <w:r>
              <w:rPr>
                <w:rFonts w:ascii="ＭＳ 明朝" w:hAnsi="ＭＳ 明朝" w:eastAsia="ＭＳ 明朝"/>
                <w:sz w:val="22"/>
              </w:rPr>
              <w:t>千円</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eastAsia="ＭＳ 明朝" w:ascii="ＭＳ 明朝" w:hAnsi="ＭＳ 明朝"/>
                <w:sz w:val="22"/>
              </w:rPr>
            </w:r>
          </w:p>
        </w:tc>
        <w:tc>
          <w:tcPr>
            <w:tcW w:w="155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１</w:t>
            </w:r>
            <w:r>
              <w:rPr>
                <w:rFonts w:eastAsia="ＭＳ 明朝" w:ascii="ＭＳ 明朝" w:hAnsi="ＭＳ 明朝"/>
                <w:sz w:val="22"/>
              </w:rPr>
              <w:t>/</w:t>
            </w:r>
            <w:r>
              <w:rPr>
                <w:rFonts w:ascii="ＭＳ 明朝" w:hAnsi="ＭＳ 明朝" w:eastAsia="ＭＳ 明朝"/>
                <w:sz w:val="22"/>
              </w:rPr>
              <w:t>２以内</w:t>
            </w:r>
          </w:p>
          <w:p>
            <w:pPr>
              <w:pStyle w:val="Normal"/>
              <w:rPr>
                <w:rFonts w:ascii="ＭＳ 明朝" w:hAnsi="ＭＳ 明朝" w:eastAsia="ＭＳ 明朝"/>
                <w:sz w:val="22"/>
              </w:rPr>
            </w:pPr>
            <w:r>
              <w:rPr>
                <w:rFonts w:ascii="ＭＳ 明朝" w:hAnsi="ＭＳ 明朝" w:eastAsia="ＭＳ 明朝"/>
                <w:sz w:val="22"/>
              </w:rPr>
              <w:t>（認定新規就農者は３</w:t>
            </w:r>
            <w:r>
              <w:rPr>
                <w:rFonts w:eastAsia="ＭＳ 明朝" w:ascii="ＭＳ 明朝" w:hAnsi="ＭＳ 明朝"/>
                <w:sz w:val="22"/>
              </w:rPr>
              <w:t>/</w:t>
            </w:r>
            <w:r>
              <w:rPr>
                <w:rFonts w:ascii="ＭＳ 明朝" w:hAnsi="ＭＳ 明朝" w:eastAsia="ＭＳ 明朝"/>
                <w:sz w:val="22"/>
              </w:rPr>
              <w:t>４以内）</w:t>
            </w:r>
          </w:p>
        </w:tc>
        <w:tc>
          <w:tcPr>
            <w:tcW w:w="192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当該耕作放棄地に１年以内に、新規に５年以上の使用貸借権を受ける、受けることが確実であると見込まれる、又は売買等により当該耕作放棄地を取得する若しくは取得することが確実であると見込まれる農業者等（ただし、３親等内の親族間においての使用貸借権の設定又は権利移転の場合、並びに申請者及び申請者と同一世帯の者が市税等の滞納者である場合は、交付象者としない。）</w:t>
            </w:r>
          </w:p>
        </w:tc>
      </w:tr>
      <w:tr>
        <w:trPr>
          <w:trHeight w:val="1491" w:hRule="atLeast"/>
        </w:trPr>
        <w:tc>
          <w:tcPr>
            <w:tcW w:w="598" w:type="dxa"/>
            <w:vMerge w:val="continue"/>
            <w:tcBorders>
              <w:top w:val="single" w:sz="4" w:space="0" w:color="000000"/>
              <w:left w:val="single" w:sz="4" w:space="0" w:color="000000"/>
              <w:bottom w:val="single" w:sz="4" w:space="0" w:color="000000"/>
              <w:right w:val="single" w:sz="4" w:space="0" w:color="000000"/>
            </w:tcBorders>
            <w:shd w:fill="auto" w:val="clear"/>
            <w:textDirection w:val="tbRl"/>
          </w:tcPr>
          <w:p>
            <w:pPr>
              <w:pStyle w:val="Normal"/>
              <w:ind w:left="113" w:right="113" w:hanging="0"/>
              <w:jc w:val="center"/>
              <w:rPr>
                <w:rFonts w:ascii="ＭＳ 明朝" w:hAnsi="ＭＳ 明朝" w:eastAsia="ＭＳ 明朝"/>
                <w:sz w:val="22"/>
              </w:rPr>
            </w:pPr>
            <w:r>
              <w:rPr>
                <w:rFonts w:eastAsia="ＭＳ 明朝" w:ascii="ＭＳ 明朝" w:hAnsi="ＭＳ 明朝"/>
                <w:sz w:val="22"/>
              </w:rPr>
            </w:r>
          </w:p>
        </w:tc>
        <w:tc>
          <w:tcPr>
            <w:tcW w:w="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補完事業</w:t>
            </w:r>
          </w:p>
        </w:tc>
        <w:tc>
          <w:tcPr>
            <w:tcW w:w="11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再生事業と同時に実施する施設内の草刈り、廃棄物処理等</w:t>
            </w:r>
          </w:p>
        </w:tc>
        <w:tc>
          <w:tcPr>
            <w:tcW w:w="229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eastAsia="ＭＳ 明朝" w:ascii="ＭＳ 明朝" w:hAnsi="ＭＳ 明朝"/>
                <w:sz w:val="22"/>
              </w:rPr>
            </w:r>
          </w:p>
        </w:tc>
        <w:tc>
          <w:tcPr>
            <w:tcW w:w="141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eastAsia="ＭＳ 明朝" w:ascii="ＭＳ 明朝" w:hAnsi="ＭＳ 明朝"/>
                <w:sz w:val="22"/>
              </w:rPr>
            </w:r>
          </w:p>
        </w:tc>
        <w:tc>
          <w:tcPr>
            <w:tcW w:w="155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eastAsia="ＭＳ 明朝" w:ascii="ＭＳ 明朝" w:hAnsi="ＭＳ 明朝"/>
                <w:sz w:val="22"/>
              </w:rPr>
            </w:r>
          </w:p>
        </w:tc>
        <w:tc>
          <w:tcPr>
            <w:tcW w:w="192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eastAsia="ＭＳ 明朝" w:ascii="ＭＳ 明朝" w:hAnsi="ＭＳ 明朝"/>
                <w:sz w:val="22"/>
              </w:rPr>
            </w:r>
          </w:p>
        </w:tc>
      </w:tr>
      <w:tr>
        <w:trPr>
          <w:trHeight w:val="1636" w:hRule="atLeast"/>
        </w:trPr>
        <w:tc>
          <w:tcPr>
            <w:tcW w:w="598" w:type="dxa"/>
            <w:vMerge w:val="restart"/>
            <w:tcBorders>
              <w:top w:val="single" w:sz="4" w:space="0" w:color="000000"/>
              <w:left w:val="single" w:sz="4" w:space="0" w:color="000000"/>
              <w:bottom w:val="single" w:sz="4" w:space="0" w:color="000000"/>
              <w:right w:val="single" w:sz="4" w:space="0" w:color="000000"/>
            </w:tcBorders>
            <w:shd w:fill="auto" w:val="clear"/>
            <w:textDirection w:val="tbRl"/>
          </w:tcPr>
          <w:p>
            <w:pPr>
              <w:pStyle w:val="Normal"/>
              <w:ind w:left="113" w:right="113" w:hanging="0"/>
              <w:jc w:val="center"/>
              <w:rPr>
                <w:rFonts w:ascii="ＭＳ 明朝" w:hAnsi="ＭＳ 明朝" w:eastAsia="ＭＳ 明朝"/>
                <w:sz w:val="22"/>
              </w:rPr>
            </w:pPr>
            <w:r>
              <w:rPr>
                <w:rFonts w:ascii="ＭＳ 明朝" w:hAnsi="ＭＳ 明朝" w:eastAsia="ＭＳ 明朝"/>
                <w:sz w:val="22"/>
              </w:rPr>
              <w:t>黄区分</w:t>
            </w:r>
          </w:p>
        </w:tc>
        <w:tc>
          <w:tcPr>
            <w:tcW w:w="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再生事業</w:t>
            </w:r>
          </w:p>
        </w:tc>
        <w:tc>
          <w:tcPr>
            <w:tcW w:w="11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障害物除去、伐採・伐根、深耕、整地等</w:t>
            </w:r>
          </w:p>
        </w:tc>
        <w:tc>
          <w:tcPr>
            <w:tcW w:w="229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再生事業及び補完事業に要した費用（工事に係る委託料、機械・器具リース料及び燃料代、その他必要と認められる費用）</w:t>
            </w:r>
          </w:p>
        </w:tc>
        <w:tc>
          <w:tcPr>
            <w:tcW w:w="141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ＭＳ 明朝" w:hAnsi="ＭＳ 明朝" w:eastAsia="ＭＳ 明朝"/>
                <w:sz w:val="22"/>
              </w:rPr>
            </w:pPr>
            <w:r>
              <w:rPr>
                <w:rFonts w:ascii="ＭＳ 明朝" w:hAnsi="ＭＳ 明朝" w:eastAsia="ＭＳ 明朝"/>
                <w:sz w:val="22"/>
              </w:rPr>
              <w:t>再生事業と補完事業を合わせて</w:t>
            </w:r>
            <w:r>
              <w:rPr>
                <w:rFonts w:eastAsia="ＭＳ 明朝" w:ascii="ＭＳ 明朝" w:hAnsi="ＭＳ 明朝"/>
                <w:sz w:val="22"/>
              </w:rPr>
              <w:t>10a</w:t>
            </w:r>
            <w:r>
              <w:rPr>
                <w:rFonts w:ascii="ＭＳ 明朝" w:hAnsi="ＭＳ 明朝" w:eastAsia="ＭＳ 明朝"/>
                <w:sz w:val="22"/>
              </w:rPr>
              <w:t>当たり</w:t>
            </w:r>
            <w:r>
              <w:rPr>
                <w:rFonts w:eastAsia="ＭＳ 明朝" w:ascii="ＭＳ 明朝" w:hAnsi="ＭＳ 明朝"/>
                <w:sz w:val="22"/>
              </w:rPr>
              <w:t>2,000</w:t>
            </w:r>
            <w:r>
              <w:rPr>
                <w:rFonts w:ascii="ＭＳ 明朝" w:hAnsi="ＭＳ 明朝" w:eastAsia="ＭＳ 明朝"/>
                <w:sz w:val="22"/>
              </w:rPr>
              <w:t>千円</w:t>
            </w:r>
          </w:p>
        </w:tc>
        <w:tc>
          <w:tcPr>
            <w:tcW w:w="155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eastAsia="ＭＳ 明朝" w:ascii="ＭＳ 明朝" w:hAnsi="ＭＳ 明朝"/>
                <w:sz w:val="22"/>
              </w:rPr>
            </w:r>
          </w:p>
        </w:tc>
        <w:tc>
          <w:tcPr>
            <w:tcW w:w="192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rFonts w:ascii="ＭＳ 明朝" w:hAnsi="ＭＳ 明朝" w:eastAsia="ＭＳ 明朝"/>
                <w:sz w:val="22"/>
              </w:rPr>
            </w:pPr>
            <w:r>
              <w:rPr>
                <w:rFonts w:eastAsia="ＭＳ 明朝" w:ascii="ＭＳ 明朝" w:hAnsi="ＭＳ 明朝"/>
                <w:sz w:val="22"/>
              </w:rPr>
            </w:r>
          </w:p>
        </w:tc>
      </w:tr>
      <w:tr>
        <w:trPr>
          <w:trHeight w:val="2015" w:hRule="atLeast"/>
          <w:cantSplit w:val="true"/>
        </w:trPr>
        <w:tc>
          <w:tcPr>
            <w:tcW w:w="59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ＭＳ 明朝" w:hAnsi="ＭＳ 明朝" w:eastAsia="ＭＳ 明朝"/>
                <w:sz w:val="22"/>
              </w:rPr>
            </w:pPr>
            <w:r>
              <w:rPr>
                <w:rFonts w:eastAsia="ＭＳ 明朝" w:ascii="ＭＳ 明朝" w:hAnsi="ＭＳ 明朝"/>
                <w:sz w:val="22"/>
              </w:rPr>
            </w:r>
          </w:p>
        </w:tc>
        <w:tc>
          <w:tcPr>
            <w:tcW w:w="51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ascii="ＭＳ 明朝" w:hAnsi="ＭＳ 明朝" w:eastAsia="ＭＳ 明朝"/>
                <w:sz w:val="22"/>
              </w:rPr>
              <w:t>補完事業</w:t>
            </w:r>
          </w:p>
        </w:tc>
        <w:tc>
          <w:tcPr>
            <w:tcW w:w="1122" w:type="dxa"/>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sz w:val="22"/>
              </w:rPr>
            </w:pPr>
            <w:r>
              <w:rPr>
                <w:rFonts w:ascii="ＭＳ 明朝" w:hAnsi="ＭＳ 明朝" w:eastAsia="ＭＳ 明朝"/>
                <w:sz w:val="22"/>
              </w:rPr>
              <w:t>再生事業と同時に実施する客土、施設修繕、廃棄物処理等</w:t>
            </w:r>
          </w:p>
        </w:tc>
        <w:tc>
          <w:tcPr>
            <w:tcW w:w="229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eastAsia="ＭＳ 明朝" w:ascii="ＭＳ 明朝" w:hAnsi="ＭＳ 明朝"/>
                <w:sz w:val="22"/>
              </w:rPr>
            </w:r>
          </w:p>
        </w:tc>
        <w:tc>
          <w:tcPr>
            <w:tcW w:w="141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eastAsia="ＭＳ 明朝" w:ascii="ＭＳ 明朝" w:hAnsi="ＭＳ 明朝"/>
                <w:sz w:val="22"/>
              </w:rPr>
            </w:r>
          </w:p>
        </w:tc>
        <w:tc>
          <w:tcPr>
            <w:tcW w:w="155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jc w:val="center"/>
              <w:rPr>
                <w:rFonts w:ascii="ＭＳ 明朝" w:hAnsi="ＭＳ 明朝" w:eastAsia="ＭＳ 明朝"/>
                <w:sz w:val="22"/>
              </w:rPr>
            </w:pPr>
            <w:r>
              <w:rPr>
                <w:rFonts w:eastAsia="ＭＳ 明朝" w:ascii="ＭＳ 明朝" w:hAnsi="ＭＳ 明朝"/>
                <w:sz w:val="22"/>
              </w:rPr>
            </w:r>
          </w:p>
        </w:tc>
        <w:tc>
          <w:tcPr>
            <w:tcW w:w="192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sz w:val="22"/>
              </w:rPr>
            </w:pPr>
            <w:r>
              <w:rPr>
                <w:rFonts w:eastAsia="ＭＳ 明朝" w:ascii="ＭＳ 明朝" w:hAnsi="ＭＳ 明朝"/>
                <w:sz w:val="22"/>
              </w:rPr>
            </w:r>
          </w:p>
        </w:tc>
      </w:tr>
    </w:tbl>
    <w:p>
      <w:pPr>
        <w:pStyle w:val="Normal"/>
        <w:widowControl/>
        <w:jc w:val="left"/>
        <w:rPr>
          <w:rFonts w:ascii="ＭＳ 明朝" w:hAnsi="ＭＳ 明朝" w:eastAsia="ＭＳ 明朝"/>
          <w:sz w:val="22"/>
          <w:u w:val="single"/>
        </w:rPr>
      </w:pPr>
      <w:r>
        <w:rPr/>
      </w:r>
    </w:p>
    <w:sectPr>
      <w:type w:val="nextPage"/>
      <w:pgSz w:w="11906" w:h="16838"/>
      <w:pgMar w:left="1701" w:right="1701" w:header="0" w:top="1985" w:footer="0" w:bottom="1701"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4"/>
    <w:uiPriority w:val="99"/>
    <w:qFormat/>
    <w:rsid w:val="007b5297"/>
    <w:rPr>
      <w:rFonts w:ascii="ＭＳ 明朝" w:hAnsi="ＭＳ 明朝" w:eastAsia="ＭＳ 明朝"/>
      <w:sz w:val="22"/>
    </w:rPr>
  </w:style>
  <w:style w:type="character" w:styleId="Style15" w:customStyle="1">
    <w:name w:val="結語 (文字)"/>
    <w:basedOn w:val="DefaultParagraphFont"/>
    <w:link w:val="a6"/>
    <w:uiPriority w:val="99"/>
    <w:qFormat/>
    <w:rsid w:val="007b5297"/>
    <w:rPr>
      <w:rFonts w:ascii="ＭＳ 明朝" w:hAnsi="ＭＳ 明朝" w:eastAsia="ＭＳ 明朝"/>
      <w:sz w:val="22"/>
    </w:rPr>
  </w:style>
  <w:style w:type="character" w:styleId="Style16" w:customStyle="1">
    <w:name w:val="吹き出し (文字)"/>
    <w:basedOn w:val="DefaultParagraphFont"/>
    <w:link w:val="a8"/>
    <w:uiPriority w:val="99"/>
    <w:semiHidden/>
    <w:qFormat/>
    <w:rsid w:val="005e748b"/>
    <w:rPr>
      <w:rFonts w:ascii="游ゴシック Light" w:hAnsi="游ゴシック Light" w:eastAsia="游ゴシック Light" w:cs="" w:asciiTheme="majorHAnsi" w:cstheme="majorBidi" w:eastAsiaTheme="majorEastAsia" w:hAnsiTheme="majorHAnsi"/>
      <w:sz w:val="18"/>
      <w:szCs w:val="18"/>
    </w:rPr>
  </w:style>
  <w:style w:type="character" w:styleId="Style17" w:customStyle="1">
    <w:name w:val="ヘッダー (文字)"/>
    <w:basedOn w:val="DefaultParagraphFont"/>
    <w:link w:val="ab"/>
    <w:uiPriority w:val="99"/>
    <w:qFormat/>
    <w:rsid w:val="007c00b8"/>
    <w:rPr/>
  </w:style>
  <w:style w:type="character" w:styleId="Style18" w:customStyle="1">
    <w:name w:val="フッター (文字)"/>
    <w:basedOn w:val="DefaultParagraphFont"/>
    <w:link w:val="ad"/>
    <w:uiPriority w:val="99"/>
    <w:qFormat/>
    <w:rsid w:val="007c00b8"/>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ListParagraph">
    <w:name w:val="List Paragraph"/>
    <w:basedOn w:val="Normal"/>
    <w:uiPriority w:val="34"/>
    <w:qFormat/>
    <w:rsid w:val="00ed4c06"/>
    <w:pPr>
      <w:ind w:left="840" w:hanging="0"/>
    </w:pPr>
    <w:rPr/>
  </w:style>
  <w:style w:type="paragraph" w:styleId="NoteHeading">
    <w:name w:val="Note Heading"/>
    <w:basedOn w:val="Normal"/>
    <w:next w:val="Normal"/>
    <w:link w:val="a5"/>
    <w:uiPriority w:val="99"/>
    <w:unhideWhenUsed/>
    <w:qFormat/>
    <w:rsid w:val="007b5297"/>
    <w:pPr>
      <w:jc w:val="center"/>
    </w:pPr>
    <w:rPr>
      <w:rFonts w:ascii="ＭＳ 明朝" w:hAnsi="ＭＳ 明朝" w:eastAsia="ＭＳ 明朝"/>
      <w:sz w:val="22"/>
    </w:rPr>
  </w:style>
  <w:style w:type="paragraph" w:styleId="Closing">
    <w:name w:val="Closing"/>
    <w:basedOn w:val="Normal"/>
    <w:link w:val="a7"/>
    <w:uiPriority w:val="99"/>
    <w:unhideWhenUsed/>
    <w:qFormat/>
    <w:rsid w:val="007b5297"/>
    <w:pPr>
      <w:jc w:val="right"/>
    </w:pPr>
    <w:rPr>
      <w:rFonts w:ascii="ＭＳ 明朝" w:hAnsi="ＭＳ 明朝" w:eastAsia="ＭＳ 明朝"/>
      <w:sz w:val="22"/>
    </w:rPr>
  </w:style>
  <w:style w:type="paragraph" w:styleId="BalloonText">
    <w:name w:val="Balloon Text"/>
    <w:basedOn w:val="Normal"/>
    <w:link w:val="a9"/>
    <w:uiPriority w:val="99"/>
    <w:semiHidden/>
    <w:unhideWhenUsed/>
    <w:qFormat/>
    <w:rsid w:val="005e748b"/>
    <w:pPr/>
    <w:rPr>
      <w:rFonts w:ascii="游ゴシック Light" w:hAnsi="游ゴシック Light" w:eastAsia="游ゴシック Light" w:cs="" w:asciiTheme="majorHAnsi" w:cstheme="majorBidi" w:eastAsiaTheme="majorEastAsia" w:hAnsiTheme="majorHAnsi"/>
      <w:sz w:val="18"/>
      <w:szCs w:val="18"/>
    </w:rPr>
  </w:style>
  <w:style w:type="paragraph" w:styleId="Revision">
    <w:name w:val="Revision"/>
    <w:uiPriority w:val="99"/>
    <w:semiHidden/>
    <w:qFormat/>
    <w:rsid w:val="006b7ccb"/>
    <w:pPr>
      <w:widowControl/>
      <w:bidi w:val="0"/>
      <w:jc w:val="left"/>
    </w:pPr>
    <w:rPr>
      <w:rFonts w:ascii="游明朝" w:hAnsi="游明朝" w:eastAsia="游明朝" w:cs="" w:asciiTheme="minorHAnsi" w:cstheme="minorBidi" w:eastAsiaTheme="minorEastAsia" w:hAnsiTheme="minorHAnsi"/>
      <w:color w:val="auto"/>
      <w:kern w:val="2"/>
      <w:sz w:val="21"/>
      <w:szCs w:val="22"/>
      <w:lang w:val="en-US" w:eastAsia="ja-JP" w:bidi="ar-SA"/>
    </w:rPr>
  </w:style>
  <w:style w:type="paragraph" w:styleId="Style24">
    <w:name w:val="Header"/>
    <w:basedOn w:val="Normal"/>
    <w:link w:val="ac"/>
    <w:uiPriority w:val="99"/>
    <w:unhideWhenUsed/>
    <w:rsid w:val="007c00b8"/>
    <w:pPr>
      <w:tabs>
        <w:tab w:val="clear" w:pos="840"/>
        <w:tab w:val="center" w:pos="4252" w:leader="none"/>
        <w:tab w:val="right" w:pos="8504" w:leader="none"/>
      </w:tabs>
      <w:snapToGrid w:val="false"/>
    </w:pPr>
    <w:rPr/>
  </w:style>
  <w:style w:type="paragraph" w:styleId="Style25">
    <w:name w:val="Footer"/>
    <w:basedOn w:val="Normal"/>
    <w:link w:val="ae"/>
    <w:uiPriority w:val="99"/>
    <w:unhideWhenUsed/>
    <w:rsid w:val="007c00b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4224F-81D4-4515-8B79-3459813A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LibreOffice/6.2.8.2$Linux_X86_64 LibreOffice_project/20$Build-2</Application>
  <Pages>3</Pages>
  <Words>2294</Words>
  <Characters>2312</Characters>
  <CharactersWithSpaces>2355</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2024-12-10T08:39:00Z</dcterms:created>
  <dc:creator>R01-NPC-476</dc:creator>
  <dc:description/>
  <dc:language>ja-JP</dc:language>
  <cp:lastModifiedBy/>
  <cp:lastPrinted>2024-04-15T01:02:00Z</cp:lastPrinted>
  <dcterms:modified xsi:type="dcterms:W3CDTF">2024-12-11T16:30:02Z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